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8A7A" w14:textId="77777777" w:rsidR="00C87CCB" w:rsidRPr="00C87CCB" w:rsidRDefault="005C13AB">
      <w:pPr>
        <w:rPr>
          <w:b/>
          <w:bCs/>
          <w:u w:val="single"/>
        </w:rPr>
      </w:pPr>
      <w:r w:rsidRPr="00C87CCB">
        <w:rPr>
          <w:b/>
          <w:bCs/>
          <w:u w:val="single"/>
        </w:rPr>
        <w:t>Aankopen energie voor 2024 onder de DOKO- raamovereenkomsten aardgas en elektriciteit</w:t>
      </w:r>
    </w:p>
    <w:p w14:paraId="004F104C" w14:textId="2354D569" w:rsidR="00C87CCB" w:rsidRDefault="005C13AB">
      <w:r>
        <w:t>Ook voor 202</w:t>
      </w:r>
      <w:r w:rsidR="002723E6">
        <w:t>4</w:t>
      </w:r>
      <w:r>
        <w:t xml:space="preserve"> voorzien we bij DOKO een behoefte voor onze leden van 575 </w:t>
      </w:r>
      <w:proofErr w:type="spellStart"/>
      <w:r>
        <w:t>GWh</w:t>
      </w:r>
      <w:proofErr w:type="spellEnd"/>
      <w:r>
        <w:t xml:space="preserve"> aardgas en de 108 </w:t>
      </w:r>
      <w:proofErr w:type="spellStart"/>
      <w:r>
        <w:t>GWh</w:t>
      </w:r>
      <w:proofErr w:type="spellEnd"/>
      <w:r>
        <w:t xml:space="preserve"> elektriciteit. Die aankoop gebeurde gespreid in de tijd over de voorbije drie jaren. </w:t>
      </w:r>
    </w:p>
    <w:p w14:paraId="7E0C01E2" w14:textId="77777777" w:rsidR="00C87CCB" w:rsidRDefault="00C87CCB">
      <w:pPr>
        <w:rPr>
          <w:b/>
          <w:bCs/>
          <w:u w:val="single"/>
        </w:rPr>
      </w:pPr>
    </w:p>
    <w:p w14:paraId="10386A09" w14:textId="5F4891BE" w:rsidR="00C87CCB" w:rsidRPr="00C87CCB" w:rsidRDefault="005C13AB">
      <w:pPr>
        <w:rPr>
          <w:b/>
          <w:bCs/>
          <w:u w:val="single"/>
        </w:rPr>
      </w:pPr>
      <w:r w:rsidRPr="00C87CCB">
        <w:rPr>
          <w:b/>
          <w:bCs/>
          <w:u w:val="single"/>
        </w:rPr>
        <w:t xml:space="preserve">Aardgas (energieleverancier: </w:t>
      </w:r>
      <w:r w:rsidR="00FE3420" w:rsidRPr="00C87CCB">
        <w:rPr>
          <w:b/>
          <w:bCs/>
          <w:u w:val="single"/>
        </w:rPr>
        <w:t>Eneco</w:t>
      </w:r>
      <w:r w:rsidRPr="00C87CCB">
        <w:rPr>
          <w:b/>
          <w:bCs/>
          <w:u w:val="single"/>
        </w:rPr>
        <w:t xml:space="preserve">) </w:t>
      </w:r>
    </w:p>
    <w:p w14:paraId="6324AD5E" w14:textId="1EB3F4CE" w:rsidR="005C13AB" w:rsidRDefault="005C13AB">
      <w:r>
        <w:t>In de grafiek hieronder ziet u de aankopen die voor onze aardgasbehoefte in 2023 werden verricht (witte bolletjes). Door deze gespreide aankopen werd voor 202</w:t>
      </w:r>
      <w:r w:rsidR="00C87CCB">
        <w:t>4</w:t>
      </w:r>
      <w:r>
        <w:t xml:space="preserve"> een gemiddelde prijs (groene lijn) bereikt die </w:t>
      </w:r>
      <w:r w:rsidR="00FE3420">
        <w:t>lager ligt dan</w:t>
      </w:r>
      <w:r>
        <w:t xml:space="preserve"> het marktgemiddelde van de voorbije 3 jaren (grijze lijn). De blauwe lijn toont de volatiliteit van de prijs voor aardgas. </w:t>
      </w:r>
    </w:p>
    <w:p w14:paraId="1F6F3DFB" w14:textId="7521200F" w:rsidR="00C87CCB" w:rsidRDefault="00C87CCB">
      <w:r>
        <w:rPr>
          <w:noProof/>
        </w:rPr>
        <w:drawing>
          <wp:anchor distT="0" distB="0" distL="114300" distR="114300" simplePos="0" relativeHeight="251658240" behindDoc="0" locked="0" layoutInCell="1" allowOverlap="1" wp14:anchorId="0D2BAA2A" wp14:editId="5DA37A41">
            <wp:simplePos x="901700" y="3067050"/>
            <wp:positionH relativeFrom="column">
              <wp:align>left</wp:align>
            </wp:positionH>
            <wp:positionV relativeFrom="paragraph">
              <wp:align>top</wp:align>
            </wp:positionV>
            <wp:extent cx="4349750" cy="2626056"/>
            <wp:effectExtent l="0" t="0" r="0" b="3175"/>
            <wp:wrapSquare wrapText="bothSides"/>
            <wp:docPr id="1" name="Afbeelding 1" descr="Afbeelding met tekst, schermopname,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Perceel, diagram&#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4349750" cy="2626056"/>
                    </a:xfrm>
                    <a:prstGeom prst="rect">
                      <a:avLst/>
                    </a:prstGeom>
                  </pic:spPr>
                </pic:pic>
              </a:graphicData>
            </a:graphic>
          </wp:anchor>
        </w:drawing>
      </w:r>
      <w:r>
        <w:br w:type="textWrapping" w:clear="all"/>
      </w:r>
    </w:p>
    <w:p w14:paraId="2AFC641F" w14:textId="598B4921" w:rsidR="005C13AB" w:rsidRDefault="005C13AB">
      <w:r>
        <w:t xml:space="preserve">Dit betekent concreet dat de aardgasprijs die </w:t>
      </w:r>
      <w:r w:rsidR="00FE3420">
        <w:t>Eneco</w:t>
      </w:r>
      <w:r>
        <w:t xml:space="preserve"> in 202</w:t>
      </w:r>
      <w:r w:rsidR="00C87CCB">
        <w:t>4</w:t>
      </w:r>
      <w:r>
        <w:t xml:space="preserve"> zal aanrekenen 32,</w:t>
      </w:r>
      <w:r w:rsidR="00FE3420">
        <w:t>82</w:t>
      </w:r>
      <w:r>
        <w:t xml:space="preserve"> euro/MWh zal bedragen. Dit is </w:t>
      </w:r>
      <w:r w:rsidR="00FE3420">
        <w:t>nagenoeg gelijk aan de 32</w:t>
      </w:r>
      <w:r>
        <w:t>,</w:t>
      </w:r>
      <w:r w:rsidR="00FE3420">
        <w:t>70</w:t>
      </w:r>
      <w:r>
        <w:t xml:space="preserve"> euro/MWh in 202</w:t>
      </w:r>
      <w:r w:rsidR="00C87CCB">
        <w:t>3</w:t>
      </w:r>
      <w:r>
        <w:t xml:space="preserve">. </w:t>
      </w:r>
    </w:p>
    <w:p w14:paraId="57EC26FF" w14:textId="77A7EB72" w:rsidR="005C13AB" w:rsidRDefault="005C13AB">
      <w:r>
        <w:t>Indien we in september 202</w:t>
      </w:r>
      <w:r w:rsidR="00FE3420">
        <w:t>3</w:t>
      </w:r>
      <w:r>
        <w:t xml:space="preserve"> nog aardgas voor volgend jaar zouden moeten aankopen dan zou de aankoopprijs oplopen tot meer dan </w:t>
      </w:r>
      <w:r w:rsidR="00FE3420">
        <w:t>5</w:t>
      </w:r>
      <w:r>
        <w:t xml:space="preserve">0 euro/MWh. </w:t>
      </w:r>
    </w:p>
    <w:p w14:paraId="7B927F1B" w14:textId="77777777" w:rsidR="00C87CCB" w:rsidRDefault="005C13AB">
      <w:r>
        <w:t xml:space="preserve">Deze prijs omvat enkel de energiekost zoals aangeboden door Eneco. </w:t>
      </w:r>
    </w:p>
    <w:p w14:paraId="4CCE511F" w14:textId="45119D0C" w:rsidR="005C13AB" w:rsidRDefault="005C13AB">
      <w:r>
        <w:t xml:space="preserve">De distributienettarieven, de BTW en de andere taksen en heffingen ten laste van het aardgasverbruik (energiebijdrage, financiering CREG, toeslag beschermde klanten en toekomstige heffingen waarop de leverancier geen invloed heeft), zijn niet inbegrepen in de prijs maar worden bijkomend op je factuur toegevoegd. </w:t>
      </w:r>
      <w:r w:rsidR="00B0350D">
        <w:t>De transportkosten zijn wel in de prijs begrepen.</w:t>
      </w:r>
    </w:p>
    <w:p w14:paraId="5812D9FA" w14:textId="22EDE23E" w:rsidR="005C13AB" w:rsidRDefault="005C13AB">
      <w:r>
        <w:t xml:space="preserve">Inmiddels werden gespreid in de tijd ook reeds posities aangekocht voor 2025 (voor de deelnemers aan de raamovereenkomst 2022-2025). De prijzen voor 2025 zullen tegen eind 2024 worden bekendgemaakt. </w:t>
      </w:r>
    </w:p>
    <w:p w14:paraId="76349A79" w14:textId="2CBE510B" w:rsidR="00F52AEB" w:rsidRDefault="00F52AEB" w:rsidP="00F52AEB">
      <w:r>
        <w:t xml:space="preserve">De energieleverancier voor gas in 2025 blijft Eneco. </w:t>
      </w:r>
    </w:p>
    <w:p w14:paraId="41F5B78F" w14:textId="77777777" w:rsidR="008839AF" w:rsidRDefault="008839AF"/>
    <w:p w14:paraId="482DB12F" w14:textId="77777777" w:rsidR="008839AF" w:rsidRDefault="008839AF"/>
    <w:p w14:paraId="5C5B8957" w14:textId="77777777" w:rsidR="008839AF" w:rsidRDefault="008839AF"/>
    <w:p w14:paraId="45224954" w14:textId="1BE87792" w:rsidR="005C13AB" w:rsidRPr="008839AF" w:rsidRDefault="005C13AB">
      <w:pPr>
        <w:rPr>
          <w:b/>
          <w:bCs/>
          <w:u w:val="single"/>
        </w:rPr>
      </w:pPr>
      <w:r w:rsidRPr="008839AF">
        <w:rPr>
          <w:b/>
          <w:bCs/>
          <w:u w:val="single"/>
        </w:rPr>
        <w:lastRenderedPageBreak/>
        <w:t xml:space="preserve">Elektriciteit/groene stroom (energieleverancier </w:t>
      </w:r>
      <w:proofErr w:type="spellStart"/>
      <w:r w:rsidR="00C87CCB" w:rsidRPr="008839AF">
        <w:rPr>
          <w:b/>
          <w:bCs/>
          <w:u w:val="single"/>
        </w:rPr>
        <w:t>Engie</w:t>
      </w:r>
      <w:proofErr w:type="spellEnd"/>
      <w:r w:rsidR="008839AF">
        <w:rPr>
          <w:b/>
          <w:bCs/>
          <w:u w:val="single"/>
        </w:rPr>
        <w:t xml:space="preserve"> Electrabel</w:t>
      </w:r>
      <w:r w:rsidRPr="008839AF">
        <w:rPr>
          <w:b/>
          <w:bCs/>
          <w:u w:val="single"/>
        </w:rPr>
        <w:t xml:space="preserve">) </w:t>
      </w:r>
    </w:p>
    <w:p w14:paraId="43699247" w14:textId="77777777" w:rsidR="0099698A" w:rsidRDefault="005C13AB">
      <w:r>
        <w:t xml:space="preserve">In de grafiek hieronder tonen we de aankopen die voor onze elektriciteitsbehoefte in 2024 werden verricht (witte bolletjes) in de voorbije 3 jaren. </w:t>
      </w:r>
    </w:p>
    <w:p w14:paraId="197058EA" w14:textId="12915B93" w:rsidR="0099698A" w:rsidRDefault="005C13AB">
      <w:r>
        <w:t xml:space="preserve">Door deze aankopen werd voor 2024 een gemiddelde prijs (groene lijn) bereikt die </w:t>
      </w:r>
      <w:r w:rsidR="008839AF">
        <w:t>beduidend onder het</w:t>
      </w:r>
      <w:r>
        <w:t xml:space="preserve"> marktgemiddelde</w:t>
      </w:r>
      <w:r w:rsidR="008839AF">
        <w:t xml:space="preserve"> ligt</w:t>
      </w:r>
      <w:r>
        <w:t xml:space="preserve"> van de voorbije 3 jaren (grijze lijn). </w:t>
      </w:r>
    </w:p>
    <w:p w14:paraId="250C4F3B" w14:textId="77777777" w:rsidR="0099698A" w:rsidRDefault="005C13AB">
      <w:r>
        <w:t>De blauwe lijn toont de volatiliteit van de prijs voor elektriciteit in 202</w:t>
      </w:r>
      <w:r w:rsidR="0099698A">
        <w:t>4</w:t>
      </w:r>
      <w:r>
        <w:t xml:space="preserve">. </w:t>
      </w:r>
    </w:p>
    <w:p w14:paraId="42FD3F7F" w14:textId="7C33C967" w:rsidR="0099698A" w:rsidRDefault="008839AF">
      <w:r w:rsidRPr="008839AF">
        <w:rPr>
          <w:noProof/>
        </w:rPr>
        <w:drawing>
          <wp:inline distT="0" distB="0" distL="0" distR="0" wp14:anchorId="69C27D4F" wp14:editId="4965CBF0">
            <wp:extent cx="4483100" cy="2718917"/>
            <wp:effectExtent l="0" t="0" r="0" b="5715"/>
            <wp:docPr id="2" name="Afbeelding 2" descr="Afbeelding met tekst, schermopname,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Perceel, diagram&#10;&#10;Automatisch gegenereerde beschrijving"/>
                    <pic:cNvPicPr/>
                  </pic:nvPicPr>
                  <pic:blipFill>
                    <a:blip r:embed="rId8"/>
                    <a:stretch>
                      <a:fillRect/>
                    </a:stretch>
                  </pic:blipFill>
                  <pic:spPr>
                    <a:xfrm>
                      <a:off x="0" y="0"/>
                      <a:ext cx="4501323" cy="2729969"/>
                    </a:xfrm>
                    <a:prstGeom prst="rect">
                      <a:avLst/>
                    </a:prstGeom>
                  </pic:spPr>
                </pic:pic>
              </a:graphicData>
            </a:graphic>
          </wp:inline>
        </w:drawing>
      </w:r>
    </w:p>
    <w:p w14:paraId="236C4E50" w14:textId="602335B2" w:rsidR="0099698A" w:rsidRDefault="005C13AB">
      <w:r>
        <w:t xml:space="preserve">Dit leidt concreet tot volgende elektriciteitsprijzen (inclusief de prijs voor de garanties van oorsprong voor groene stroom) die </w:t>
      </w:r>
      <w:proofErr w:type="spellStart"/>
      <w:r w:rsidR="008839AF">
        <w:t>Engie</w:t>
      </w:r>
      <w:proofErr w:type="spellEnd"/>
      <w:r w:rsidR="008839AF">
        <w:t xml:space="preserve"> Electrabel</w:t>
      </w:r>
      <w:r>
        <w:t xml:space="preserve"> (leverancier voor 202</w:t>
      </w:r>
      <w:r w:rsidR="008839AF">
        <w:t>4</w:t>
      </w:r>
      <w:r>
        <w:t xml:space="preserve"> en 202</w:t>
      </w:r>
      <w:r w:rsidR="008839AF">
        <w:t>5</w:t>
      </w:r>
      <w:r>
        <w:t>) in 202</w:t>
      </w:r>
      <w:r w:rsidR="0099698A">
        <w:t>4</w:t>
      </w:r>
      <w:r w:rsidR="00D861DA">
        <w:t xml:space="preserve"> </w:t>
      </w:r>
      <w:r>
        <w:t>zal aanrekenen.</w:t>
      </w:r>
      <w:r w:rsidR="00D861DA">
        <w:t xml:space="preserve"> </w:t>
      </w:r>
    </w:p>
    <w:tbl>
      <w:tblPr>
        <w:tblStyle w:val="Tabelraster"/>
        <w:tblW w:w="0" w:type="auto"/>
        <w:tblLook w:val="04A0" w:firstRow="1" w:lastRow="0" w:firstColumn="1" w:lastColumn="0" w:noHBand="0" w:noVBand="1"/>
      </w:tblPr>
      <w:tblGrid>
        <w:gridCol w:w="2265"/>
        <w:gridCol w:w="2265"/>
        <w:gridCol w:w="2266"/>
      </w:tblGrid>
      <w:tr w:rsidR="006A6DCB" w14:paraId="34FC6421" w14:textId="77777777" w:rsidTr="006A6DCB">
        <w:tc>
          <w:tcPr>
            <w:tcW w:w="2265" w:type="dxa"/>
          </w:tcPr>
          <w:p w14:paraId="4CE5EB15" w14:textId="287016A1" w:rsidR="006A6DCB" w:rsidRDefault="006A6DCB">
            <w:r>
              <w:t>Euro/MWh</w:t>
            </w:r>
          </w:p>
        </w:tc>
        <w:tc>
          <w:tcPr>
            <w:tcW w:w="2265" w:type="dxa"/>
          </w:tcPr>
          <w:p w14:paraId="2B7858A0" w14:textId="77777777" w:rsidR="006A6DCB" w:rsidRDefault="006A6DCB"/>
        </w:tc>
        <w:tc>
          <w:tcPr>
            <w:tcW w:w="2266" w:type="dxa"/>
          </w:tcPr>
          <w:p w14:paraId="0F290DA0" w14:textId="1049BF41" w:rsidR="006A6DCB" w:rsidRPr="0057759D" w:rsidRDefault="006A6DCB" w:rsidP="0057759D">
            <w:pPr>
              <w:jc w:val="center"/>
              <w:rPr>
                <w:b/>
                <w:bCs/>
              </w:rPr>
            </w:pPr>
            <w:r w:rsidRPr="0057759D">
              <w:rPr>
                <w:b/>
                <w:bCs/>
              </w:rPr>
              <w:t>2024</w:t>
            </w:r>
          </w:p>
        </w:tc>
      </w:tr>
      <w:tr w:rsidR="006A6DCB" w14:paraId="47DD69D0" w14:textId="77777777" w:rsidTr="006A6DCB">
        <w:tc>
          <w:tcPr>
            <w:tcW w:w="2265" w:type="dxa"/>
            <w:vMerge w:val="restart"/>
          </w:tcPr>
          <w:p w14:paraId="519A17E2" w14:textId="432AC7B1" w:rsidR="006A6DCB" w:rsidRDefault="006A6DCB" w:rsidP="006A6DCB">
            <w:pPr>
              <w:jc w:val="center"/>
            </w:pPr>
            <w:r>
              <w:t>AMR</w:t>
            </w:r>
          </w:p>
        </w:tc>
        <w:tc>
          <w:tcPr>
            <w:tcW w:w="2265" w:type="dxa"/>
          </w:tcPr>
          <w:p w14:paraId="1F932766" w14:textId="2168D7A0" w:rsidR="006A6DCB" w:rsidRDefault="006A6DCB">
            <w:r>
              <w:t>Normale uren</w:t>
            </w:r>
          </w:p>
        </w:tc>
        <w:tc>
          <w:tcPr>
            <w:tcW w:w="2266" w:type="dxa"/>
          </w:tcPr>
          <w:p w14:paraId="25304540" w14:textId="632B30BA" w:rsidR="006A6DCB" w:rsidRDefault="001F449A" w:rsidP="0057759D">
            <w:pPr>
              <w:jc w:val="center"/>
            </w:pPr>
            <w:r>
              <w:t>104,42</w:t>
            </w:r>
          </w:p>
        </w:tc>
      </w:tr>
      <w:tr w:rsidR="006A6DCB" w14:paraId="322B9AB0" w14:textId="77777777" w:rsidTr="006A6DCB">
        <w:tc>
          <w:tcPr>
            <w:tcW w:w="2265" w:type="dxa"/>
            <w:vMerge/>
          </w:tcPr>
          <w:p w14:paraId="143127EF" w14:textId="77777777" w:rsidR="006A6DCB" w:rsidRDefault="006A6DCB" w:rsidP="006A6DCB">
            <w:pPr>
              <w:jc w:val="center"/>
            </w:pPr>
          </w:p>
        </w:tc>
        <w:tc>
          <w:tcPr>
            <w:tcW w:w="2265" w:type="dxa"/>
          </w:tcPr>
          <w:p w14:paraId="3CD5A75C" w14:textId="64E9107E" w:rsidR="006A6DCB" w:rsidRDefault="006A6DCB">
            <w:r>
              <w:t>Stille uren</w:t>
            </w:r>
          </w:p>
        </w:tc>
        <w:tc>
          <w:tcPr>
            <w:tcW w:w="2266" w:type="dxa"/>
          </w:tcPr>
          <w:p w14:paraId="7E5230EB" w14:textId="22EAE288" w:rsidR="006A6DCB" w:rsidRDefault="001F449A" w:rsidP="0057759D">
            <w:pPr>
              <w:jc w:val="center"/>
            </w:pPr>
            <w:r>
              <w:t>74,14</w:t>
            </w:r>
          </w:p>
        </w:tc>
      </w:tr>
      <w:tr w:rsidR="0057759D" w14:paraId="79ABEF8D" w14:textId="77777777" w:rsidTr="006A6DCB">
        <w:tc>
          <w:tcPr>
            <w:tcW w:w="2265" w:type="dxa"/>
            <w:vMerge w:val="restart"/>
          </w:tcPr>
          <w:p w14:paraId="453B3D0B" w14:textId="77777777" w:rsidR="0057759D" w:rsidRDefault="0057759D" w:rsidP="006A6DCB">
            <w:pPr>
              <w:jc w:val="center"/>
            </w:pPr>
          </w:p>
          <w:p w14:paraId="4DDA1A65" w14:textId="2EC7E224" w:rsidR="0057759D" w:rsidRDefault="0057759D" w:rsidP="006A6DCB">
            <w:pPr>
              <w:jc w:val="center"/>
            </w:pPr>
            <w:r>
              <w:t>MMR</w:t>
            </w:r>
          </w:p>
        </w:tc>
        <w:tc>
          <w:tcPr>
            <w:tcW w:w="2265" w:type="dxa"/>
          </w:tcPr>
          <w:p w14:paraId="433360F8" w14:textId="4FA5CD4B" w:rsidR="0057759D" w:rsidRDefault="0057759D">
            <w:r>
              <w:t>Normale uren</w:t>
            </w:r>
          </w:p>
        </w:tc>
        <w:tc>
          <w:tcPr>
            <w:tcW w:w="2266" w:type="dxa"/>
          </w:tcPr>
          <w:p w14:paraId="397FDF72" w14:textId="7A15FCFE" w:rsidR="0057759D" w:rsidRDefault="0057759D" w:rsidP="0057759D">
            <w:pPr>
              <w:jc w:val="center"/>
            </w:pPr>
            <w:r>
              <w:t>104,42</w:t>
            </w:r>
          </w:p>
        </w:tc>
      </w:tr>
      <w:tr w:rsidR="0057759D" w14:paraId="48D82EF4" w14:textId="77777777" w:rsidTr="006A6DCB">
        <w:tc>
          <w:tcPr>
            <w:tcW w:w="2265" w:type="dxa"/>
            <w:vMerge/>
          </w:tcPr>
          <w:p w14:paraId="5411FDF1" w14:textId="77777777" w:rsidR="0057759D" w:rsidRDefault="0057759D" w:rsidP="006A6DCB">
            <w:pPr>
              <w:jc w:val="center"/>
            </w:pPr>
          </w:p>
        </w:tc>
        <w:tc>
          <w:tcPr>
            <w:tcW w:w="2265" w:type="dxa"/>
          </w:tcPr>
          <w:p w14:paraId="5147DAFF" w14:textId="11940577" w:rsidR="0057759D" w:rsidRDefault="0057759D">
            <w:r>
              <w:t>Stille uren</w:t>
            </w:r>
          </w:p>
        </w:tc>
        <w:tc>
          <w:tcPr>
            <w:tcW w:w="2266" w:type="dxa"/>
          </w:tcPr>
          <w:p w14:paraId="12BBC744" w14:textId="4A3B545E" w:rsidR="0057759D" w:rsidRDefault="0057759D" w:rsidP="0057759D">
            <w:pPr>
              <w:jc w:val="center"/>
            </w:pPr>
            <w:r>
              <w:t>74,14</w:t>
            </w:r>
          </w:p>
        </w:tc>
      </w:tr>
      <w:tr w:rsidR="0057759D" w14:paraId="6A2D3405" w14:textId="77777777" w:rsidTr="0057759D">
        <w:trPr>
          <w:trHeight w:val="332"/>
        </w:trPr>
        <w:tc>
          <w:tcPr>
            <w:tcW w:w="2265" w:type="dxa"/>
            <w:vMerge/>
          </w:tcPr>
          <w:p w14:paraId="66646F0D" w14:textId="77777777" w:rsidR="0057759D" w:rsidRDefault="0057759D" w:rsidP="006A6DCB">
            <w:pPr>
              <w:jc w:val="center"/>
            </w:pPr>
          </w:p>
        </w:tc>
        <w:tc>
          <w:tcPr>
            <w:tcW w:w="2265" w:type="dxa"/>
          </w:tcPr>
          <w:p w14:paraId="36052C86" w14:textId="538EAC31" w:rsidR="0057759D" w:rsidRDefault="0057759D">
            <w:r>
              <w:t>Alle uren</w:t>
            </w:r>
          </w:p>
        </w:tc>
        <w:tc>
          <w:tcPr>
            <w:tcW w:w="2266" w:type="dxa"/>
          </w:tcPr>
          <w:p w14:paraId="7F89F29B" w14:textId="3C6B3EB6" w:rsidR="0057759D" w:rsidRDefault="0057759D" w:rsidP="0057759D">
            <w:pPr>
              <w:jc w:val="center"/>
            </w:pPr>
            <w:r>
              <w:t>104,42</w:t>
            </w:r>
          </w:p>
        </w:tc>
      </w:tr>
      <w:tr w:rsidR="0057759D" w14:paraId="75669882" w14:textId="77777777" w:rsidTr="0057759D">
        <w:trPr>
          <w:trHeight w:val="280"/>
        </w:trPr>
        <w:tc>
          <w:tcPr>
            <w:tcW w:w="2265" w:type="dxa"/>
            <w:vMerge w:val="restart"/>
          </w:tcPr>
          <w:p w14:paraId="7ABFE52D" w14:textId="77777777" w:rsidR="0057759D" w:rsidRDefault="0057759D" w:rsidP="0057759D">
            <w:pPr>
              <w:jc w:val="center"/>
            </w:pPr>
          </w:p>
          <w:p w14:paraId="63318CA4" w14:textId="362313EB" w:rsidR="0057759D" w:rsidRDefault="0057759D" w:rsidP="0057759D">
            <w:pPr>
              <w:jc w:val="center"/>
            </w:pPr>
            <w:r>
              <w:t>YMR</w:t>
            </w:r>
          </w:p>
        </w:tc>
        <w:tc>
          <w:tcPr>
            <w:tcW w:w="2265" w:type="dxa"/>
          </w:tcPr>
          <w:p w14:paraId="7EED4DD6" w14:textId="42FAA6B4" w:rsidR="0057759D" w:rsidRDefault="0057759D" w:rsidP="0057759D">
            <w:r>
              <w:t>Normale uren</w:t>
            </w:r>
          </w:p>
        </w:tc>
        <w:tc>
          <w:tcPr>
            <w:tcW w:w="2266" w:type="dxa"/>
          </w:tcPr>
          <w:p w14:paraId="70CFF7E9" w14:textId="24DA18FD" w:rsidR="0057759D" w:rsidRDefault="0057759D" w:rsidP="0057759D">
            <w:pPr>
              <w:jc w:val="center"/>
            </w:pPr>
            <w:r>
              <w:t>104,42</w:t>
            </w:r>
          </w:p>
        </w:tc>
      </w:tr>
      <w:tr w:rsidR="0057759D" w14:paraId="2D7E7475" w14:textId="77777777" w:rsidTr="006A6DCB">
        <w:tc>
          <w:tcPr>
            <w:tcW w:w="2265" w:type="dxa"/>
            <w:vMerge/>
          </w:tcPr>
          <w:p w14:paraId="2136E43F" w14:textId="77777777" w:rsidR="0057759D" w:rsidRDefault="0057759D" w:rsidP="0057759D">
            <w:pPr>
              <w:jc w:val="center"/>
            </w:pPr>
          </w:p>
        </w:tc>
        <w:tc>
          <w:tcPr>
            <w:tcW w:w="2265" w:type="dxa"/>
          </w:tcPr>
          <w:p w14:paraId="51DF198E" w14:textId="5DFD7454" w:rsidR="0057759D" w:rsidRDefault="0057759D" w:rsidP="0057759D">
            <w:r>
              <w:t>Stille uren</w:t>
            </w:r>
          </w:p>
        </w:tc>
        <w:tc>
          <w:tcPr>
            <w:tcW w:w="2266" w:type="dxa"/>
          </w:tcPr>
          <w:p w14:paraId="76E4402A" w14:textId="5F64B339" w:rsidR="0057759D" w:rsidRDefault="0057759D" w:rsidP="0057759D">
            <w:pPr>
              <w:jc w:val="center"/>
            </w:pPr>
            <w:r>
              <w:t>74,14</w:t>
            </w:r>
          </w:p>
        </w:tc>
      </w:tr>
      <w:tr w:rsidR="0057759D" w14:paraId="3F870018" w14:textId="77777777" w:rsidTr="006A6DCB">
        <w:tc>
          <w:tcPr>
            <w:tcW w:w="2265" w:type="dxa"/>
            <w:vMerge/>
          </w:tcPr>
          <w:p w14:paraId="5CE900BA" w14:textId="77777777" w:rsidR="0057759D" w:rsidRDefault="0057759D" w:rsidP="0057759D">
            <w:pPr>
              <w:jc w:val="center"/>
            </w:pPr>
          </w:p>
        </w:tc>
        <w:tc>
          <w:tcPr>
            <w:tcW w:w="2265" w:type="dxa"/>
          </w:tcPr>
          <w:p w14:paraId="71CDB4C3" w14:textId="353C8373" w:rsidR="0057759D" w:rsidRDefault="0057759D" w:rsidP="0057759D">
            <w:r>
              <w:t>Alle uren</w:t>
            </w:r>
          </w:p>
        </w:tc>
        <w:tc>
          <w:tcPr>
            <w:tcW w:w="2266" w:type="dxa"/>
          </w:tcPr>
          <w:p w14:paraId="7B9C8AD5" w14:textId="6D8BA246" w:rsidR="0057759D" w:rsidRDefault="0057759D" w:rsidP="0057759D">
            <w:pPr>
              <w:jc w:val="center"/>
            </w:pPr>
            <w:r>
              <w:t>104,42</w:t>
            </w:r>
          </w:p>
        </w:tc>
      </w:tr>
    </w:tbl>
    <w:p w14:paraId="79BE29C2" w14:textId="0F54E746" w:rsidR="006A6DCB" w:rsidRDefault="006A6DCB"/>
    <w:p w14:paraId="680254B2" w14:textId="77777777" w:rsidR="00F52AEB" w:rsidRPr="00347FA9" w:rsidRDefault="005C13AB">
      <w:pPr>
        <w:rPr>
          <w:b/>
          <w:bCs/>
        </w:rPr>
      </w:pPr>
      <w:r w:rsidRPr="00347FA9">
        <w:rPr>
          <w:b/>
          <w:bCs/>
        </w:rPr>
        <w:t>Deze prijzen</w:t>
      </w:r>
      <w:r w:rsidR="00D861DA" w:rsidRPr="00347FA9">
        <w:rPr>
          <w:b/>
          <w:bCs/>
        </w:rPr>
        <w:t xml:space="preserve"> kunnen overigens nog wel </w:t>
      </w:r>
      <w:r w:rsidR="006C124D" w:rsidRPr="00347FA9">
        <w:rPr>
          <w:b/>
          <w:bCs/>
        </w:rPr>
        <w:t>wat fluctueren omdat er momenteel voor 95% is gefixeerd. De resterende 5% wordt nog niet geklikt, zodat er nog geprofiteerd kan worden van een dalende markt. Aangezien er een stop-</w:t>
      </w:r>
      <w:proofErr w:type="spellStart"/>
      <w:r w:rsidR="006C124D" w:rsidRPr="00347FA9">
        <w:rPr>
          <w:b/>
          <w:bCs/>
        </w:rPr>
        <w:t>loss</w:t>
      </w:r>
      <w:proofErr w:type="spellEnd"/>
      <w:r w:rsidR="006C124D" w:rsidRPr="00347FA9">
        <w:rPr>
          <w:b/>
          <w:bCs/>
        </w:rPr>
        <w:t xml:space="preserve"> is opgenomen, zullen bovenstaande prijzen ‘beschermd’ zijn</w:t>
      </w:r>
      <w:r w:rsidR="00F52AEB" w:rsidRPr="00347FA9">
        <w:rPr>
          <w:b/>
          <w:bCs/>
        </w:rPr>
        <w:t xml:space="preserve"> en zal de uiteindelijke prijs hoogstwaarschijnlijk iets lager uitkomen. </w:t>
      </w:r>
    </w:p>
    <w:p w14:paraId="46677FC1" w14:textId="46C75485" w:rsidR="0099698A" w:rsidRDefault="00F52AEB">
      <w:r>
        <w:t xml:space="preserve">Deze prijzen omvatten enkel de energiekost zoals aangeboden door </w:t>
      </w:r>
      <w:proofErr w:type="spellStart"/>
      <w:r>
        <w:t>Engie</w:t>
      </w:r>
      <w:proofErr w:type="spellEnd"/>
      <w:r>
        <w:t xml:space="preserve"> Electrabel.</w:t>
      </w:r>
      <w:r w:rsidR="005C13AB">
        <w:t xml:space="preserve"> </w:t>
      </w:r>
    </w:p>
    <w:p w14:paraId="2529E116" w14:textId="77777777" w:rsidR="0099698A" w:rsidRDefault="005C13AB">
      <w:r>
        <w:t xml:space="preserve">De heffingen op het verbruik (energiebijdrage, financiering CREG, toeslag sociaal fonds, toeslag beschermde klanten en toekomstige heffingen waarop de leverancier geen invloed heeft), de BTW, de distributienettarieven en de transmissienettarieven zijn dus niet inbegrepen in de eenheidsprijzen. Ze zullen bijkomend op je factuur worden toegevoegd. </w:t>
      </w:r>
    </w:p>
    <w:p w14:paraId="390C2481" w14:textId="4825D651" w:rsidR="0099698A" w:rsidRDefault="005C13AB">
      <w:r>
        <w:lastRenderedPageBreak/>
        <w:t xml:space="preserve">Inmiddels </w:t>
      </w:r>
      <w:r w:rsidR="00F52AEB">
        <w:t>zijn</w:t>
      </w:r>
      <w:r>
        <w:t>, gespreid in de tijd, ook reeds posities aangekocht voor 2025 (voor de deelnemers aan de raamovereenkomst 2022-2025). De prijzen voor 202</w:t>
      </w:r>
      <w:r w:rsidR="00F52AEB">
        <w:t>5</w:t>
      </w:r>
      <w:r>
        <w:t xml:space="preserve"> zullen tegen eind 202</w:t>
      </w:r>
      <w:r w:rsidR="00F52AEB">
        <w:t>4</w:t>
      </w:r>
      <w:r>
        <w:t xml:space="preserve"> worden bekendgemaakt. </w:t>
      </w:r>
    </w:p>
    <w:p w14:paraId="38AFCED0" w14:textId="043EEBF6" w:rsidR="000774CE" w:rsidRDefault="005C13AB">
      <w:r>
        <w:t xml:space="preserve">De energieleverancier voor elektriciteit in 2025 </w:t>
      </w:r>
      <w:r w:rsidR="00F52AEB">
        <w:t>blijft</w:t>
      </w:r>
      <w:r>
        <w:t xml:space="preserve"> </w:t>
      </w:r>
      <w:proofErr w:type="spellStart"/>
      <w:r>
        <w:t>Engie</w:t>
      </w:r>
      <w:proofErr w:type="spellEnd"/>
      <w:r w:rsidR="00F52AEB">
        <w:t xml:space="preserve"> </w:t>
      </w:r>
      <w:r>
        <w:t xml:space="preserve">Electrabel. </w:t>
      </w:r>
    </w:p>
    <w:sectPr w:rsidR="00077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AB"/>
    <w:rsid w:val="000774CE"/>
    <w:rsid w:val="00140A6F"/>
    <w:rsid w:val="001F449A"/>
    <w:rsid w:val="002723E6"/>
    <w:rsid w:val="002C5A74"/>
    <w:rsid w:val="003248A1"/>
    <w:rsid w:val="00347FA9"/>
    <w:rsid w:val="00562D6E"/>
    <w:rsid w:val="0057759D"/>
    <w:rsid w:val="005C13AB"/>
    <w:rsid w:val="006A6DCB"/>
    <w:rsid w:val="006C124D"/>
    <w:rsid w:val="008839AF"/>
    <w:rsid w:val="0099698A"/>
    <w:rsid w:val="00AD3B88"/>
    <w:rsid w:val="00B0350D"/>
    <w:rsid w:val="00C87CCB"/>
    <w:rsid w:val="00C922B1"/>
    <w:rsid w:val="00D861DA"/>
    <w:rsid w:val="00DB63EB"/>
    <w:rsid w:val="00F52AEB"/>
    <w:rsid w:val="00FE3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77EB"/>
  <w15:chartTrackingRefBased/>
  <w15:docId w15:val="{7594862F-F162-4F01-95C0-92D5A53C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A6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7" ma:contentTypeDescription="Create a new document." ma:contentTypeScope="" ma:versionID="d2be36e3c00f7abf38b6f33843126e14">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8c4f59d0187606e0a6d88ad3be44581c"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43887-9B5C-4A75-A5B8-19A3EECB8F4B}">
  <ds:schemaRefs>
    <ds:schemaRef ds:uri="http://schemas.microsoft.com/office/2006/metadata/properties"/>
    <ds:schemaRef ds:uri="http://schemas.microsoft.com/office/infopath/2007/PartnerControls"/>
    <ds:schemaRef ds:uri="3a3aca9c-e23e-4218-ba3a-2e0fb28352ac"/>
    <ds:schemaRef ds:uri="9043eea9-c6a2-41bd-a216-33d45f9f09e1"/>
  </ds:schemaRefs>
</ds:datastoreItem>
</file>

<file path=customXml/itemProps2.xml><?xml version="1.0" encoding="utf-8"?>
<ds:datastoreItem xmlns:ds="http://schemas.openxmlformats.org/officeDocument/2006/customXml" ds:itemID="{89C108E1-802A-45BB-8837-8794C689C20F}">
  <ds:schemaRefs>
    <ds:schemaRef ds:uri="http://schemas.microsoft.com/sharepoint/v3/contenttype/forms"/>
  </ds:schemaRefs>
</ds:datastoreItem>
</file>

<file path=customXml/itemProps3.xml><?xml version="1.0" encoding="utf-8"?>
<ds:datastoreItem xmlns:ds="http://schemas.openxmlformats.org/officeDocument/2006/customXml" ds:itemID="{71ED6776-9CFB-4CD3-84D6-7C1221D2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cb72-c4cf-4dad-9a04-fa8d55d70629"/>
    <ds:schemaRef ds:uri="3a3aca9c-e23e-4218-ba3a-2e0fb28352ac"/>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3015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Van den Berg</dc:creator>
  <cp:keywords/>
  <dc:description/>
  <cp:lastModifiedBy>An Vrijders</cp:lastModifiedBy>
  <cp:revision>3</cp:revision>
  <dcterms:created xsi:type="dcterms:W3CDTF">2023-09-25T07:31:00Z</dcterms:created>
  <dcterms:modified xsi:type="dcterms:W3CDTF">2023-11-22T14:46:00Z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0x010100CDE6181D5DD7BD409E9ABC36301343C4</vt:lpwstr>
  </property>
  <property fmtid="{D5CDD505-2E9C-101B-9397-08002B2CF9AE}" pid="3" name="MediaServiceImageTags">
    <vt:lpwstr/>
  </property>
</Properties>
</file>